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5F64" w14:textId="77777777" w:rsidR="0042093A" w:rsidRPr="005B3F9F" w:rsidRDefault="0042093A" w:rsidP="0042093A">
      <w:pPr>
        <w:pStyle w:val="Titre1"/>
        <w:numPr>
          <w:ilvl w:val="0"/>
          <w:numId w:val="1"/>
        </w:numPr>
        <w:rPr>
          <w:rFonts w:ascii="Trebuchet MS" w:eastAsia="Times New Roman" w:hAnsi="Trebuchet MS"/>
          <w:b/>
          <w:color w:val="003E90"/>
        </w:rPr>
      </w:pPr>
      <w:bookmarkStart w:id="0" w:name="_Toc462784410"/>
      <w:r w:rsidRPr="005B3F9F">
        <w:rPr>
          <w:rFonts w:ascii="Trebuchet MS" w:eastAsia="Times New Roman" w:hAnsi="Trebuchet MS"/>
          <w:b/>
          <w:color w:val="003E90"/>
        </w:rPr>
        <w:t>Présentation de Performances Group</w:t>
      </w:r>
      <w:bookmarkEnd w:id="0"/>
    </w:p>
    <w:p w14:paraId="63F76EAB" w14:textId="77777777" w:rsidR="0042093A" w:rsidRPr="00134A36" w:rsidRDefault="0042093A" w:rsidP="0042093A">
      <w:r>
        <w:t xml:space="preserve"> </w:t>
      </w:r>
    </w:p>
    <w:p w14:paraId="265D932E" w14:textId="2959CB23" w:rsidR="0042093A" w:rsidRPr="001D1D95" w:rsidRDefault="0042093A" w:rsidP="008E4D71">
      <w:pPr>
        <w:spacing w:before="75" w:after="75" w:line="360" w:lineRule="atLeast"/>
        <w:jc w:val="both"/>
        <w:textAlignment w:val="baseline"/>
        <w:rPr>
          <w:rFonts w:ascii="Trebuchet MS" w:hAnsi="Trebuchet MS"/>
        </w:rPr>
      </w:pPr>
      <w:bookmarkStart w:id="1" w:name="_Toc402798916"/>
      <w:r w:rsidRPr="001D1D95">
        <w:rPr>
          <w:rFonts w:ascii="Trebuchet MS" w:hAnsi="Trebuchet MS"/>
        </w:rPr>
        <w:t xml:space="preserve">Créé en 1995 par des Africains ayant évolué pendant plusieurs années dans des entreprises et des institutions de rang mondial, Performances Group est aujourd’hui </w:t>
      </w:r>
      <w:r w:rsidR="008C1F9F">
        <w:rPr>
          <w:rFonts w:ascii="Trebuchet MS" w:hAnsi="Trebuchet MS"/>
        </w:rPr>
        <w:t>un</w:t>
      </w:r>
      <w:r w:rsidRPr="001D1D95">
        <w:rPr>
          <w:rFonts w:ascii="Trebuchet MS" w:hAnsi="Trebuchet MS"/>
        </w:rPr>
        <w:t xml:space="preserve"> leader du conseil en </w:t>
      </w:r>
      <w:r w:rsidR="00E45540">
        <w:rPr>
          <w:rFonts w:ascii="Trebuchet MS" w:hAnsi="Trebuchet MS"/>
        </w:rPr>
        <w:t>stratégie</w:t>
      </w:r>
      <w:r w:rsidRPr="001D1D95">
        <w:rPr>
          <w:rFonts w:ascii="Trebuchet MS" w:hAnsi="Trebuchet MS"/>
        </w:rPr>
        <w:t xml:space="preserve"> auprès des institutions et des entreprises en Afrique subsaharienne francophone. </w:t>
      </w:r>
    </w:p>
    <w:p w14:paraId="6EE40541" w14:textId="77777777" w:rsidR="0042093A" w:rsidRPr="001D1D95" w:rsidRDefault="0042093A" w:rsidP="0042093A">
      <w:pPr>
        <w:spacing w:before="120"/>
        <w:jc w:val="both"/>
        <w:rPr>
          <w:rFonts w:ascii="Trebuchet MS" w:hAnsi="Trebuchet MS"/>
        </w:rPr>
      </w:pPr>
    </w:p>
    <w:tbl>
      <w:tblPr>
        <w:tblW w:w="0" w:type="auto"/>
        <w:jc w:val="center"/>
        <w:tblBorders>
          <w:top w:val="single" w:sz="4" w:space="0" w:color="DBE5F1"/>
          <w:left w:val="single" w:sz="4" w:space="0" w:color="DBE5F1"/>
          <w:bottom w:val="single" w:sz="4" w:space="0" w:color="DBE5F1"/>
          <w:right w:val="single" w:sz="4" w:space="0" w:color="DBE5F1"/>
        </w:tblBorders>
        <w:tblLook w:val="04A0" w:firstRow="1" w:lastRow="0" w:firstColumn="1" w:lastColumn="0" w:noHBand="0" w:noVBand="1"/>
      </w:tblPr>
      <w:tblGrid>
        <w:gridCol w:w="9220"/>
      </w:tblGrid>
      <w:tr w:rsidR="0042093A" w:rsidRPr="001D1D95" w14:paraId="7355DAC7" w14:textId="77777777" w:rsidTr="00352B7A">
        <w:trPr>
          <w:trHeight w:val="471"/>
          <w:jc w:val="center"/>
        </w:trPr>
        <w:tc>
          <w:tcPr>
            <w:tcW w:w="9056" w:type="dxa"/>
            <w:shd w:val="clear" w:color="auto" w:fill="DBE5F1"/>
            <w:vAlign w:val="center"/>
          </w:tcPr>
          <w:p w14:paraId="3CAA7BA2" w14:textId="77777777" w:rsidR="0042093A" w:rsidRPr="001D1D95" w:rsidRDefault="0042093A" w:rsidP="00352B7A">
            <w:pPr>
              <w:keepNext/>
              <w:keepLines/>
              <w:widowControl w:val="0"/>
              <w:tabs>
                <w:tab w:val="left" w:pos="709"/>
                <w:tab w:val="left" w:pos="10065"/>
              </w:tabs>
              <w:spacing w:line="360" w:lineRule="auto"/>
              <w:ind w:right="49"/>
              <w:rPr>
                <w:rFonts w:ascii="Trebuchet MS" w:eastAsia="Times New Roman" w:hAnsi="Trebuchet MS" w:cs="Arial"/>
                <w:b/>
                <w:bCs/>
                <w:color w:val="002060"/>
                <w:kern w:val="28"/>
              </w:rPr>
            </w:pPr>
            <w:r w:rsidRPr="001D1D95">
              <w:rPr>
                <w:rFonts w:ascii="Trebuchet MS" w:eastAsia="Times New Roman" w:hAnsi="Trebuchet MS"/>
                <w:b/>
                <w:color w:val="1F497D"/>
                <w:kern w:val="28"/>
              </w:rPr>
              <w:t xml:space="preserve">Figure 1 : </w:t>
            </w:r>
            <w:r w:rsidRPr="001D1D95">
              <w:rPr>
                <w:rFonts w:ascii="Trebuchet MS" w:eastAsia="Times New Roman" w:hAnsi="Trebuchet MS"/>
                <w:b/>
                <w:color w:val="4F81BD"/>
                <w:kern w:val="28"/>
              </w:rPr>
              <w:t>Présentation de Performances Group</w:t>
            </w:r>
          </w:p>
        </w:tc>
      </w:tr>
      <w:tr w:rsidR="0042093A" w:rsidRPr="001D1D95" w14:paraId="694E83D0" w14:textId="77777777" w:rsidTr="00352B7A">
        <w:tblPrEx>
          <w:tblCellMar>
            <w:left w:w="70" w:type="dxa"/>
            <w:right w:w="70" w:type="dxa"/>
          </w:tblCellMar>
        </w:tblPrEx>
        <w:trPr>
          <w:trHeight w:val="5007"/>
          <w:jc w:val="center"/>
        </w:trPr>
        <w:tc>
          <w:tcPr>
            <w:tcW w:w="9056" w:type="dxa"/>
            <w:shd w:val="clear" w:color="auto" w:fill="FFFFFF"/>
            <w:vAlign w:val="center"/>
          </w:tcPr>
          <w:p w14:paraId="3FB6F7D5" w14:textId="3B4061B9" w:rsidR="0042093A" w:rsidRPr="001D1D95" w:rsidRDefault="004E7EAB" w:rsidP="008F3893">
            <w:pPr>
              <w:keepNext/>
              <w:keepLines/>
              <w:tabs>
                <w:tab w:val="left" w:pos="709"/>
              </w:tabs>
              <w:spacing w:line="360" w:lineRule="auto"/>
              <w:rPr>
                <w:rFonts w:ascii="Trebuchet MS" w:eastAsia="Times New Roman" w:hAnsi="Trebuchet MS"/>
                <w:noProof/>
                <w:kern w:val="28"/>
              </w:rPr>
            </w:pPr>
            <w:r w:rsidRPr="000F4E52">
              <w:rPr>
                <w:rFonts w:ascii="Trebuchet MS" w:eastAsia="Times New Roman" w:hAnsi="Trebuchet MS"/>
                <w:noProof/>
                <w:kern w:val="28"/>
              </w:rPr>
              <w:drawing>
                <wp:inline distT="0" distB="0" distL="0" distR="0" wp14:anchorId="7E0A05E5" wp14:editId="208D0792">
                  <wp:extent cx="5758180" cy="3458210"/>
                  <wp:effectExtent l="0" t="0" r="7620" b="0"/>
                  <wp:docPr id="3" name="Image 3" descr="01%20TRAVAUX/01%20EN%20COURS/CHARTE%20GRAPHIQUE%20PERFORMANCES%20GROUP/00%20PROJET/PRESENTATION%20DU%20CABINET/Carte%20Chiffres%20clés-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0TRAVAUX/01%20EN%20COURS/CHARTE%20GRAPHIQUE%20PERFORMANCES%20GROUP/00%20PROJET/PRESENTATION%20DU%20CABINET/Carte%20Chiffres%20clés-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180" cy="3458210"/>
                          </a:xfrm>
                          <a:prstGeom prst="rect">
                            <a:avLst/>
                          </a:prstGeom>
                          <a:noFill/>
                          <a:ln>
                            <a:noFill/>
                          </a:ln>
                        </pic:spPr>
                      </pic:pic>
                    </a:graphicData>
                  </a:graphic>
                </wp:inline>
              </w:drawing>
            </w:r>
          </w:p>
        </w:tc>
      </w:tr>
    </w:tbl>
    <w:p w14:paraId="0423AFD0" w14:textId="77777777" w:rsidR="0042093A" w:rsidRPr="001D1D95" w:rsidRDefault="0042093A" w:rsidP="0042093A">
      <w:pPr>
        <w:spacing w:before="120"/>
        <w:jc w:val="both"/>
        <w:rPr>
          <w:rFonts w:ascii="Trebuchet MS" w:hAnsi="Trebuchet MS"/>
        </w:rPr>
      </w:pPr>
    </w:p>
    <w:bookmarkEnd w:id="1"/>
    <w:p w14:paraId="295E59B2" w14:textId="2D5AC546" w:rsidR="004124FA" w:rsidRDefault="00947E76" w:rsidP="008E4D71">
      <w:pPr>
        <w:spacing w:before="75" w:after="75" w:line="360" w:lineRule="atLeast"/>
        <w:jc w:val="both"/>
        <w:textAlignment w:val="baseline"/>
        <w:rPr>
          <w:rFonts w:ascii="Trebuchet MS" w:hAnsi="Trebuchet MS"/>
        </w:rPr>
      </w:pPr>
      <w:r>
        <w:rPr>
          <w:rFonts w:ascii="Trebuchet MS" w:hAnsi="Trebuchet MS"/>
        </w:rPr>
        <w:t xml:space="preserve">Performances Group </w:t>
      </w:r>
      <w:r w:rsidR="004124FA">
        <w:rPr>
          <w:rFonts w:ascii="Trebuchet MS" w:hAnsi="Trebuchet MS"/>
        </w:rPr>
        <w:t xml:space="preserve">a pour ambition d’être un acteur prépondérant </w:t>
      </w:r>
      <w:r w:rsidR="00A763E4">
        <w:rPr>
          <w:rFonts w:ascii="Trebuchet MS" w:hAnsi="Trebuchet MS"/>
        </w:rPr>
        <w:t xml:space="preserve">de la </w:t>
      </w:r>
      <w:r>
        <w:rPr>
          <w:rFonts w:ascii="Trebuchet MS" w:hAnsi="Trebuchet MS"/>
        </w:rPr>
        <w:t xml:space="preserve">transformation des économies africaines. </w:t>
      </w:r>
      <w:r w:rsidR="00576C8E">
        <w:rPr>
          <w:rFonts w:ascii="Trebuchet MS" w:hAnsi="Trebuchet MS"/>
        </w:rPr>
        <w:t>C</w:t>
      </w:r>
      <w:r w:rsidR="004124FA">
        <w:rPr>
          <w:rFonts w:ascii="Trebuchet MS" w:hAnsi="Trebuchet MS"/>
        </w:rPr>
        <w:t xml:space="preserve">ette transformation </w:t>
      </w:r>
      <w:r w:rsidR="00576C8E">
        <w:rPr>
          <w:rFonts w:ascii="Trebuchet MS" w:hAnsi="Trebuchet MS"/>
        </w:rPr>
        <w:t>a</w:t>
      </w:r>
      <w:r w:rsidR="004124FA">
        <w:rPr>
          <w:rFonts w:ascii="Trebuchet MS" w:hAnsi="Trebuchet MS"/>
        </w:rPr>
        <w:t xml:space="preserve"> été conceptualisé</w:t>
      </w:r>
      <w:r w:rsidR="00576C8E">
        <w:rPr>
          <w:rFonts w:ascii="Trebuchet MS" w:hAnsi="Trebuchet MS"/>
        </w:rPr>
        <w:t>e</w:t>
      </w:r>
      <w:r w:rsidR="004124FA">
        <w:rPr>
          <w:rFonts w:ascii="Trebuchet MS" w:hAnsi="Trebuchet MS"/>
        </w:rPr>
        <w:t xml:space="preserve"> dans le cadre d’une pyramide de l’émergence, qui </w:t>
      </w:r>
      <w:r w:rsidR="0034498F">
        <w:rPr>
          <w:rFonts w:ascii="Trebuchet MS" w:hAnsi="Trebuchet MS"/>
        </w:rPr>
        <w:t xml:space="preserve">en </w:t>
      </w:r>
      <w:r w:rsidR="004124FA">
        <w:rPr>
          <w:rFonts w:ascii="Trebuchet MS" w:hAnsi="Trebuchet MS"/>
        </w:rPr>
        <w:t>détaille le</w:t>
      </w:r>
      <w:r w:rsidR="00576C8E">
        <w:rPr>
          <w:rFonts w:ascii="Trebuchet MS" w:hAnsi="Trebuchet MS"/>
        </w:rPr>
        <w:t>s différent</w:t>
      </w:r>
      <w:r w:rsidR="005E49BE">
        <w:rPr>
          <w:rFonts w:ascii="Trebuchet MS" w:hAnsi="Trebuchet MS"/>
        </w:rPr>
        <w:t>s</w:t>
      </w:r>
      <w:r w:rsidR="00576C8E">
        <w:rPr>
          <w:rFonts w:ascii="Trebuchet MS" w:hAnsi="Trebuchet MS"/>
        </w:rPr>
        <w:t xml:space="preserve"> leviers: des filières moteurs de croissance qui créent de la richesse et des emplois, des fondements de l’émergence autour du leadership, un gouvernement efficace, des services supports </w:t>
      </w:r>
      <w:r w:rsidR="00591D40">
        <w:rPr>
          <w:rFonts w:ascii="Trebuchet MS" w:hAnsi="Trebuchet MS"/>
        </w:rPr>
        <w:t xml:space="preserve">(secteur financier, énergie et eau, numérique) </w:t>
      </w:r>
      <w:r w:rsidR="00576C8E">
        <w:rPr>
          <w:rFonts w:ascii="Trebuchet MS" w:hAnsi="Trebuchet MS"/>
        </w:rPr>
        <w:t xml:space="preserve">qui renforcent la compétitivité globale de l’économie et un secteur privé performant qui porte la bataille concurrentielle au niveau national et international. </w:t>
      </w:r>
    </w:p>
    <w:p w14:paraId="726E545B" w14:textId="77777777" w:rsidR="00EB3AEB" w:rsidRDefault="00EB3AEB" w:rsidP="00FC3AAB">
      <w:pPr>
        <w:spacing w:before="120"/>
        <w:jc w:val="both"/>
        <w:rPr>
          <w:rFonts w:ascii="Trebuchet MS" w:hAnsi="Trebuchet MS"/>
        </w:rPr>
      </w:pPr>
    </w:p>
    <w:tbl>
      <w:tblPr>
        <w:tblW w:w="0" w:type="auto"/>
        <w:jc w:val="center"/>
        <w:tblBorders>
          <w:top w:val="single" w:sz="4" w:space="0" w:color="DBE5F1"/>
          <w:left w:val="single" w:sz="4" w:space="0" w:color="DBE5F1"/>
          <w:bottom w:val="single" w:sz="4" w:space="0" w:color="DBE5F1"/>
          <w:right w:val="single" w:sz="4" w:space="0" w:color="DBE5F1"/>
        </w:tblBorders>
        <w:tblLook w:val="04A0" w:firstRow="1" w:lastRow="0" w:firstColumn="1" w:lastColumn="0" w:noHBand="0" w:noVBand="1"/>
      </w:tblPr>
      <w:tblGrid>
        <w:gridCol w:w="9056"/>
      </w:tblGrid>
      <w:tr w:rsidR="00EB3AEB" w:rsidRPr="001D1D95" w14:paraId="5DE26662" w14:textId="77777777" w:rsidTr="00352B7A">
        <w:trPr>
          <w:trHeight w:val="471"/>
          <w:jc w:val="center"/>
        </w:trPr>
        <w:tc>
          <w:tcPr>
            <w:tcW w:w="9056" w:type="dxa"/>
            <w:shd w:val="clear" w:color="auto" w:fill="DBE5F1"/>
            <w:vAlign w:val="center"/>
          </w:tcPr>
          <w:p w14:paraId="0DA71522" w14:textId="52B7D2F3" w:rsidR="00EB3AEB" w:rsidRPr="001D1D95" w:rsidRDefault="00EB3AEB" w:rsidP="00EB3AEB">
            <w:pPr>
              <w:keepNext/>
              <w:keepLines/>
              <w:widowControl w:val="0"/>
              <w:tabs>
                <w:tab w:val="left" w:pos="709"/>
                <w:tab w:val="left" w:pos="10065"/>
              </w:tabs>
              <w:spacing w:line="360" w:lineRule="auto"/>
              <w:ind w:right="49"/>
              <w:rPr>
                <w:rFonts w:ascii="Trebuchet MS" w:eastAsia="Times New Roman" w:hAnsi="Trebuchet MS" w:cs="Arial"/>
                <w:b/>
                <w:bCs/>
                <w:color w:val="002060"/>
                <w:kern w:val="28"/>
              </w:rPr>
            </w:pPr>
            <w:r w:rsidRPr="001D1D95">
              <w:rPr>
                <w:rFonts w:ascii="Trebuchet MS" w:eastAsia="Times New Roman" w:hAnsi="Trebuchet MS"/>
                <w:b/>
                <w:color w:val="1F497D"/>
                <w:kern w:val="28"/>
              </w:rPr>
              <w:lastRenderedPageBreak/>
              <w:t xml:space="preserve">Figure </w:t>
            </w:r>
            <w:r w:rsidR="000E08C7">
              <w:rPr>
                <w:rFonts w:ascii="Trebuchet MS" w:eastAsia="Times New Roman" w:hAnsi="Trebuchet MS"/>
                <w:b/>
                <w:color w:val="1F497D"/>
                <w:kern w:val="28"/>
              </w:rPr>
              <w:t>2</w:t>
            </w:r>
            <w:r w:rsidRPr="001D1D95">
              <w:rPr>
                <w:rFonts w:ascii="Trebuchet MS" w:eastAsia="Times New Roman" w:hAnsi="Trebuchet MS"/>
                <w:b/>
                <w:color w:val="1F497D"/>
                <w:kern w:val="28"/>
              </w:rPr>
              <w:t xml:space="preserve"> : </w:t>
            </w:r>
            <w:r>
              <w:rPr>
                <w:rFonts w:ascii="Trebuchet MS" w:eastAsia="Times New Roman" w:hAnsi="Trebuchet MS"/>
                <w:b/>
                <w:color w:val="4F81BD"/>
                <w:kern w:val="28"/>
              </w:rPr>
              <w:t xml:space="preserve">Pyramide de l’émergence de Performances Group </w:t>
            </w:r>
          </w:p>
        </w:tc>
      </w:tr>
      <w:tr w:rsidR="00EB3AEB" w:rsidRPr="001D1D95" w14:paraId="0178F0BC" w14:textId="77777777" w:rsidTr="00352B7A">
        <w:tblPrEx>
          <w:tblCellMar>
            <w:left w:w="70" w:type="dxa"/>
            <w:right w:w="70" w:type="dxa"/>
          </w:tblCellMar>
        </w:tblPrEx>
        <w:trPr>
          <w:trHeight w:val="5007"/>
          <w:jc w:val="center"/>
        </w:trPr>
        <w:tc>
          <w:tcPr>
            <w:tcW w:w="9056" w:type="dxa"/>
            <w:shd w:val="clear" w:color="auto" w:fill="FFFFFF"/>
            <w:vAlign w:val="center"/>
          </w:tcPr>
          <w:p w14:paraId="517E9DCF" w14:textId="77777777" w:rsidR="00EB3AEB" w:rsidRPr="001D1D95" w:rsidRDefault="00EB3AEB" w:rsidP="00352B7A">
            <w:pPr>
              <w:keepNext/>
              <w:keepLines/>
              <w:tabs>
                <w:tab w:val="left" w:pos="709"/>
              </w:tabs>
              <w:spacing w:line="360" w:lineRule="auto"/>
              <w:jc w:val="center"/>
              <w:rPr>
                <w:rFonts w:ascii="Trebuchet MS" w:eastAsia="Times New Roman" w:hAnsi="Trebuchet MS"/>
                <w:noProof/>
                <w:kern w:val="28"/>
              </w:rPr>
            </w:pPr>
            <w:r w:rsidRPr="00EB3AEB">
              <w:rPr>
                <w:rFonts w:ascii="Calibri" w:eastAsia="Times New Roman" w:hAnsi="Calibri"/>
                <w:noProof/>
                <w:color w:val="000000"/>
              </w:rPr>
              <w:drawing>
                <wp:inline distT="0" distB="0" distL="0" distR="0" wp14:anchorId="19B8765D" wp14:editId="54A19D22">
                  <wp:extent cx="4242435" cy="3073659"/>
                  <wp:effectExtent l="0" t="0" r="0" b="0"/>
                  <wp:docPr id="1" name="Image 1" descr="https://lh5.googleusercontent.com/Q-1i4juqHsIJbbVjZojESUFMTmcTK3qlKpJohFmYXiPtnK1uPAt4P7wEFP6AyuECOEah5oAASrKVmaSS8AnbBr7FiooGlUGueB7y_STJM36xon-C2dq2DD1ygG3XKbcPI-lAp-DkzUQ8ppWX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1i4juqHsIJbbVjZojESUFMTmcTK3qlKpJohFmYXiPtnK1uPAt4P7wEFP6AyuECOEah5oAASrKVmaSS8AnbBr7FiooGlUGueB7y_STJM36xon-C2dq2DD1ygG3XKbcPI-lAp-DkzUQ8ppWX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3992" cy="3096522"/>
                          </a:xfrm>
                          <a:prstGeom prst="rect">
                            <a:avLst/>
                          </a:prstGeom>
                          <a:noFill/>
                          <a:ln>
                            <a:noFill/>
                          </a:ln>
                        </pic:spPr>
                      </pic:pic>
                    </a:graphicData>
                  </a:graphic>
                </wp:inline>
              </w:drawing>
            </w:r>
          </w:p>
        </w:tc>
      </w:tr>
    </w:tbl>
    <w:p w14:paraId="724097D0" w14:textId="77777777" w:rsidR="00B73F45" w:rsidRDefault="00B73F45" w:rsidP="00135ABF">
      <w:pPr>
        <w:jc w:val="both"/>
        <w:rPr>
          <w:rFonts w:ascii="Trebuchet MS" w:eastAsia="Times New Roman" w:hAnsi="Trebuchet MS"/>
          <w:color w:val="000000"/>
        </w:rPr>
      </w:pPr>
    </w:p>
    <w:p w14:paraId="3C08D4DD" w14:textId="54C2D794" w:rsidR="00576C8E" w:rsidRDefault="00771C31" w:rsidP="008E4D71">
      <w:pPr>
        <w:spacing w:before="75" w:after="75" w:line="360" w:lineRule="atLeast"/>
        <w:jc w:val="both"/>
        <w:textAlignment w:val="baseline"/>
        <w:rPr>
          <w:rFonts w:ascii="Trebuchet MS" w:hAnsi="Trebuchet MS"/>
        </w:rPr>
      </w:pPr>
      <w:r w:rsidRPr="008E4D71">
        <w:rPr>
          <w:rFonts w:ascii="Trebuchet MS" w:hAnsi="Trebuchet MS"/>
        </w:rPr>
        <w:t>P</w:t>
      </w:r>
      <w:r w:rsidR="00576C8E" w:rsidRPr="008E4D71">
        <w:rPr>
          <w:rFonts w:ascii="Trebuchet MS" w:hAnsi="Trebuchet MS"/>
        </w:rPr>
        <w:t xml:space="preserve">erformances Group propose aux organisations privées et publiques des offres de conseil et d’appui technique qui adressent l’ensemble des composantes de la pyramide. </w:t>
      </w:r>
      <w:r w:rsidR="00591D40">
        <w:rPr>
          <w:rFonts w:ascii="Trebuchet MS" w:hAnsi="Trebuchet MS"/>
        </w:rPr>
        <w:t xml:space="preserve">Le cabinet apporte à ses clients institutionnels et du secteur privé une gamme élargie de services couvrant les principales problématiques de développement au niveau macro comme au niveau microéconomique d’opérateurs particuliers. </w:t>
      </w:r>
    </w:p>
    <w:p w14:paraId="5D7B1F90" w14:textId="77777777" w:rsidR="00591D40" w:rsidRDefault="00591D40" w:rsidP="008E4D71">
      <w:pPr>
        <w:spacing w:before="75" w:after="75" w:line="360" w:lineRule="atLeast"/>
        <w:jc w:val="both"/>
        <w:textAlignment w:val="baseline"/>
        <w:rPr>
          <w:rFonts w:ascii="Trebuchet MS" w:hAnsi="Trebuchet MS"/>
        </w:rPr>
      </w:pPr>
    </w:p>
    <w:p w14:paraId="0527A895" w14:textId="71DA23DE" w:rsidR="00591D40" w:rsidRPr="00591D40" w:rsidRDefault="004F02AB" w:rsidP="008E4D71">
      <w:pPr>
        <w:spacing w:before="75" w:after="75" w:line="360" w:lineRule="atLeast"/>
        <w:jc w:val="both"/>
        <w:textAlignment w:val="baseline"/>
        <w:rPr>
          <w:rFonts w:ascii="Trebuchet MS" w:hAnsi="Trebuchet MS"/>
          <w:b/>
          <w:color w:val="002060"/>
        </w:rPr>
      </w:pPr>
      <w:r>
        <w:rPr>
          <w:rFonts w:ascii="Trebuchet MS" w:hAnsi="Trebuchet MS"/>
          <w:b/>
          <w:color w:val="002060"/>
        </w:rPr>
        <w:t>L’offre de service</w:t>
      </w:r>
      <w:r w:rsidR="00591D40" w:rsidRPr="00591D40">
        <w:rPr>
          <w:rFonts w:ascii="Trebuchet MS" w:hAnsi="Trebuchet MS"/>
          <w:b/>
          <w:color w:val="002060"/>
        </w:rPr>
        <w:t xml:space="preserve"> du cabinet </w:t>
      </w:r>
    </w:p>
    <w:p w14:paraId="7CA8DFE8" w14:textId="77777777" w:rsidR="008E4D71" w:rsidRPr="008E4D71" w:rsidRDefault="008E4D71" w:rsidP="00135ABF">
      <w:pPr>
        <w:jc w:val="both"/>
        <w:rPr>
          <w:rFonts w:ascii="Trebuchet MS" w:eastAsia="Times New Roman" w:hAnsi="Trebuchet MS"/>
          <w:color w:val="000000"/>
          <w:sz w:val="18"/>
        </w:rPr>
      </w:pPr>
    </w:p>
    <w:p w14:paraId="2E58A1BE" w14:textId="02A7C85C" w:rsidR="00591D40" w:rsidRDefault="00591D40" w:rsidP="008E4D71">
      <w:pPr>
        <w:spacing w:before="75" w:after="75" w:line="360" w:lineRule="atLeast"/>
        <w:jc w:val="both"/>
        <w:textAlignment w:val="baseline"/>
        <w:rPr>
          <w:rFonts w:ascii="Trebuchet MS" w:hAnsi="Trebuchet MS"/>
        </w:rPr>
      </w:pPr>
      <w:r>
        <w:rPr>
          <w:rFonts w:ascii="Trebuchet MS" w:hAnsi="Trebuchet MS"/>
        </w:rPr>
        <w:t xml:space="preserve">Les services de conseil de Performances Group portent principalement sur la planification stratégique, l’assistance à la mise en œuvre de plans stratégiques et l’appui à l’optimisation de la performance des organisations. </w:t>
      </w:r>
    </w:p>
    <w:p w14:paraId="145CB2DD" w14:textId="77777777" w:rsidR="00A01555" w:rsidRDefault="00A01555" w:rsidP="008E4D71">
      <w:pPr>
        <w:spacing w:before="75" w:after="75" w:line="360" w:lineRule="atLeast"/>
        <w:jc w:val="both"/>
        <w:textAlignment w:val="baseline"/>
        <w:rPr>
          <w:rFonts w:ascii="Trebuchet MS" w:hAnsi="Trebuchet MS"/>
        </w:rPr>
      </w:pPr>
    </w:p>
    <w:p w14:paraId="4666BD4B" w14:textId="0D1F08C8" w:rsidR="00864B3B" w:rsidRPr="00864B3B" w:rsidRDefault="00A01555" w:rsidP="00864B3B">
      <w:pPr>
        <w:spacing w:before="75" w:after="75" w:line="360" w:lineRule="atLeast"/>
        <w:jc w:val="both"/>
        <w:textAlignment w:val="baseline"/>
        <w:rPr>
          <w:rFonts w:ascii="Trebuchet MS" w:hAnsi="Trebuchet MS"/>
        </w:rPr>
      </w:pPr>
      <w:r>
        <w:rPr>
          <w:rFonts w:ascii="Trebuchet MS" w:hAnsi="Trebuchet MS"/>
        </w:rPr>
        <w:t xml:space="preserve">Pour nos clients qui interviennent à l’échelle globale d’une économie ou d’une filière, nous proposons les services suivants : </w:t>
      </w:r>
    </w:p>
    <w:p w14:paraId="6E78C660" w14:textId="77777777" w:rsidR="00864B3B" w:rsidRDefault="00864B3B" w:rsidP="00864B3B">
      <w:pPr>
        <w:pStyle w:val="Paragraphedeliste"/>
        <w:numPr>
          <w:ilvl w:val="1"/>
          <w:numId w:val="3"/>
        </w:numPr>
        <w:spacing w:before="75" w:after="75" w:line="360" w:lineRule="atLeast"/>
        <w:jc w:val="both"/>
        <w:textAlignment w:val="baseline"/>
        <w:rPr>
          <w:rFonts w:ascii="Trebuchet MS" w:hAnsi="Trebuchet MS"/>
        </w:rPr>
      </w:pPr>
      <w:r w:rsidRPr="00864B3B">
        <w:rPr>
          <w:rFonts w:ascii="Trebuchet MS" w:hAnsi="Trebuchet MS"/>
        </w:rPr>
        <w:t xml:space="preserve">Planification stratégique pays ; </w:t>
      </w:r>
    </w:p>
    <w:p w14:paraId="0484793B" w14:textId="0C7B6EB8" w:rsidR="00864B3B" w:rsidRDefault="00864B3B" w:rsidP="00864B3B">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t>Plan de compétitivité filière</w:t>
      </w:r>
      <w:r w:rsidR="000E08C7">
        <w:rPr>
          <w:rFonts w:ascii="Trebuchet MS" w:hAnsi="Trebuchet MS"/>
        </w:rPr>
        <w:t> ;</w:t>
      </w:r>
    </w:p>
    <w:p w14:paraId="692B8BD2" w14:textId="158BD258" w:rsidR="00864B3B" w:rsidRDefault="00864B3B" w:rsidP="00864B3B">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t xml:space="preserve">Mise en place de </w:t>
      </w:r>
      <w:proofErr w:type="spellStart"/>
      <w:r w:rsidRPr="0034498F">
        <w:rPr>
          <w:rFonts w:ascii="Trebuchet MS" w:hAnsi="Trebuchet MS"/>
          <w:i/>
        </w:rPr>
        <w:t>delivery</w:t>
      </w:r>
      <w:proofErr w:type="spellEnd"/>
      <w:r w:rsidRPr="0034498F">
        <w:rPr>
          <w:rFonts w:ascii="Trebuchet MS" w:hAnsi="Trebuchet MS"/>
          <w:i/>
        </w:rPr>
        <w:t xml:space="preserve"> unit</w:t>
      </w:r>
      <w:r>
        <w:rPr>
          <w:rFonts w:ascii="Trebuchet MS" w:hAnsi="Trebuchet MS"/>
        </w:rPr>
        <w:t xml:space="preserve"> qui coordonne la programmation et l’appui </w:t>
      </w:r>
      <w:r w:rsidR="00D5311B">
        <w:rPr>
          <w:rFonts w:ascii="Trebuchet MS" w:hAnsi="Trebuchet MS"/>
        </w:rPr>
        <w:t xml:space="preserve">à la </w:t>
      </w:r>
      <w:r>
        <w:rPr>
          <w:rFonts w:ascii="Trebuchet MS" w:hAnsi="Trebuchet MS"/>
        </w:rPr>
        <w:t>mise en œuvre des plans d’émergence</w:t>
      </w:r>
      <w:r w:rsidR="000E08C7">
        <w:rPr>
          <w:rFonts w:ascii="Trebuchet MS" w:hAnsi="Trebuchet MS"/>
        </w:rPr>
        <w:t> ;</w:t>
      </w:r>
    </w:p>
    <w:p w14:paraId="358BA9DE" w14:textId="1A3C08F7" w:rsidR="00406B31" w:rsidRDefault="00406B31" w:rsidP="00864B3B">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t>Appui au pilotage et à la programmation opérationnelle et budgétaire</w:t>
      </w:r>
      <w:r w:rsidR="000E08C7">
        <w:rPr>
          <w:rFonts w:ascii="Trebuchet MS" w:hAnsi="Trebuchet MS"/>
        </w:rPr>
        <w:t> ;</w:t>
      </w:r>
      <w:r>
        <w:rPr>
          <w:rFonts w:ascii="Trebuchet MS" w:hAnsi="Trebuchet MS"/>
        </w:rPr>
        <w:t xml:space="preserve"> </w:t>
      </w:r>
    </w:p>
    <w:p w14:paraId="685AEFCD" w14:textId="4A6069CD" w:rsidR="00864B3B" w:rsidRDefault="00864B3B" w:rsidP="00864B3B">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lastRenderedPageBreak/>
        <w:t>Appui au montage financier des programmes et projets de développement</w:t>
      </w:r>
      <w:r w:rsidR="000E08C7">
        <w:rPr>
          <w:rFonts w:ascii="Trebuchet MS" w:hAnsi="Trebuchet MS"/>
        </w:rPr>
        <w:t> ;</w:t>
      </w:r>
    </w:p>
    <w:p w14:paraId="5294F8C1" w14:textId="6FC7CB3D" w:rsidR="00864B3B" w:rsidRDefault="00864B3B" w:rsidP="00864B3B">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t>Appui à la mise en place de systèmes d’informations stratégiques pays, qui facilitent la prise de décision</w:t>
      </w:r>
      <w:r w:rsidR="000E08C7">
        <w:rPr>
          <w:rFonts w:ascii="Trebuchet MS" w:hAnsi="Trebuchet MS"/>
        </w:rPr>
        <w:t>.</w:t>
      </w:r>
    </w:p>
    <w:p w14:paraId="09D30852" w14:textId="77777777" w:rsidR="00A01555" w:rsidRDefault="00A01555" w:rsidP="008E4D71">
      <w:pPr>
        <w:spacing w:before="75" w:after="75" w:line="360" w:lineRule="atLeast"/>
        <w:jc w:val="both"/>
        <w:textAlignment w:val="baseline"/>
        <w:rPr>
          <w:rFonts w:ascii="Trebuchet MS" w:hAnsi="Trebuchet MS"/>
        </w:rPr>
      </w:pPr>
    </w:p>
    <w:p w14:paraId="482AD341" w14:textId="68EE72A1" w:rsidR="00591D40" w:rsidRDefault="00406B31" w:rsidP="008E4D71">
      <w:pPr>
        <w:spacing w:before="75" w:after="75" w:line="360" w:lineRule="atLeast"/>
        <w:jc w:val="both"/>
        <w:textAlignment w:val="baseline"/>
        <w:rPr>
          <w:rFonts w:ascii="Trebuchet MS" w:hAnsi="Trebuchet MS"/>
        </w:rPr>
      </w:pPr>
      <w:r>
        <w:rPr>
          <w:rFonts w:ascii="Trebuchet MS" w:hAnsi="Trebuchet MS"/>
        </w:rPr>
        <w:t xml:space="preserve">Pour nos clients opérateurs privés et publics individuels, nous proposons les services suivants : </w:t>
      </w:r>
    </w:p>
    <w:p w14:paraId="01631268" w14:textId="75D3919A" w:rsidR="00406B31" w:rsidRPr="00406B31" w:rsidRDefault="00406B31" w:rsidP="00406B31">
      <w:pPr>
        <w:pStyle w:val="Paragraphedeliste"/>
        <w:numPr>
          <w:ilvl w:val="1"/>
          <w:numId w:val="3"/>
        </w:numPr>
        <w:spacing w:before="75" w:after="75" w:line="360" w:lineRule="atLeast"/>
        <w:jc w:val="both"/>
        <w:textAlignment w:val="baseline"/>
        <w:rPr>
          <w:rFonts w:ascii="Trebuchet MS" w:hAnsi="Trebuchet MS"/>
        </w:rPr>
      </w:pPr>
      <w:r w:rsidRPr="00406B31">
        <w:rPr>
          <w:rFonts w:ascii="Trebuchet MS" w:hAnsi="Trebuchet MS"/>
        </w:rPr>
        <w:t>Planification stratégique</w:t>
      </w:r>
      <w:r w:rsidR="000E08C7">
        <w:rPr>
          <w:rFonts w:ascii="Trebuchet MS" w:hAnsi="Trebuchet MS"/>
        </w:rPr>
        <w:t> ;</w:t>
      </w:r>
    </w:p>
    <w:p w14:paraId="0B3D8E01" w14:textId="77777777" w:rsidR="00406B31" w:rsidRPr="00406B31" w:rsidRDefault="00406B31" w:rsidP="00406B31">
      <w:pPr>
        <w:pStyle w:val="Paragraphedeliste"/>
        <w:numPr>
          <w:ilvl w:val="1"/>
          <w:numId w:val="3"/>
        </w:numPr>
        <w:spacing w:before="75" w:after="75" w:line="360" w:lineRule="atLeast"/>
        <w:jc w:val="both"/>
        <w:textAlignment w:val="baseline"/>
        <w:rPr>
          <w:rFonts w:ascii="Trebuchet MS" w:hAnsi="Trebuchet MS"/>
        </w:rPr>
      </w:pPr>
      <w:r w:rsidRPr="00406B31">
        <w:rPr>
          <w:rFonts w:ascii="Trebuchet MS" w:hAnsi="Trebuchet MS"/>
        </w:rPr>
        <w:t>Etudes de marché, études de faisabilité et business plans ;</w:t>
      </w:r>
    </w:p>
    <w:p w14:paraId="75A3548F" w14:textId="3F55D191" w:rsidR="00406B31" w:rsidRPr="00406B31" w:rsidRDefault="00406B31" w:rsidP="00406B31">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t>Appui à la création de nouvelles entités</w:t>
      </w:r>
      <w:r w:rsidR="000E08C7">
        <w:rPr>
          <w:rFonts w:ascii="Trebuchet MS" w:hAnsi="Trebuchet MS"/>
        </w:rPr>
        <w:t> ;</w:t>
      </w:r>
    </w:p>
    <w:p w14:paraId="6191E6CF" w14:textId="77777777" w:rsidR="00785863" w:rsidRDefault="00785863" w:rsidP="00785863">
      <w:pPr>
        <w:pStyle w:val="Paragraphedeliste"/>
        <w:numPr>
          <w:ilvl w:val="1"/>
          <w:numId w:val="3"/>
        </w:numPr>
        <w:spacing w:before="75" w:after="75" w:line="360" w:lineRule="atLeast"/>
        <w:jc w:val="both"/>
        <w:textAlignment w:val="baseline"/>
        <w:rPr>
          <w:rFonts w:ascii="Trebuchet MS" w:hAnsi="Trebuchet MS"/>
        </w:rPr>
      </w:pPr>
      <w:r w:rsidRPr="00406B31">
        <w:rPr>
          <w:rFonts w:ascii="Trebuchet MS" w:hAnsi="Trebuchet MS"/>
        </w:rPr>
        <w:t>Pilotage de la performance</w:t>
      </w:r>
      <w:r>
        <w:rPr>
          <w:rFonts w:ascii="Trebuchet MS" w:hAnsi="Trebuchet MS"/>
        </w:rPr>
        <w:t> ;</w:t>
      </w:r>
    </w:p>
    <w:p w14:paraId="4D1EA0FD" w14:textId="0C309877" w:rsidR="00406B31" w:rsidRDefault="000E08C7" w:rsidP="00406B31">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t>R</w:t>
      </w:r>
      <w:r w:rsidR="00406B31" w:rsidRPr="00406B31">
        <w:rPr>
          <w:rFonts w:ascii="Trebuchet MS" w:hAnsi="Trebuchet MS"/>
        </w:rPr>
        <w:t>éduction des coûts</w:t>
      </w:r>
      <w:r>
        <w:rPr>
          <w:rFonts w:ascii="Trebuchet MS" w:hAnsi="Trebuchet MS"/>
        </w:rPr>
        <w:t> ;</w:t>
      </w:r>
    </w:p>
    <w:p w14:paraId="0B617190" w14:textId="311BDF3D" w:rsidR="00406B31" w:rsidRDefault="00406B31" w:rsidP="00406B31">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t>Optimisation des processus organisationnels</w:t>
      </w:r>
      <w:r w:rsidR="000E08C7">
        <w:rPr>
          <w:rFonts w:ascii="Trebuchet MS" w:hAnsi="Trebuchet MS"/>
        </w:rPr>
        <w:t> ;</w:t>
      </w:r>
    </w:p>
    <w:p w14:paraId="15500353" w14:textId="46A64327" w:rsidR="000E08C7" w:rsidRPr="00406B31" w:rsidRDefault="000E08C7" w:rsidP="00406B31">
      <w:pPr>
        <w:pStyle w:val="Paragraphedeliste"/>
        <w:numPr>
          <w:ilvl w:val="1"/>
          <w:numId w:val="3"/>
        </w:numPr>
        <w:spacing w:before="75" w:after="75" w:line="360" w:lineRule="atLeast"/>
        <w:jc w:val="both"/>
        <w:textAlignment w:val="baseline"/>
        <w:rPr>
          <w:rFonts w:ascii="Trebuchet MS" w:hAnsi="Trebuchet MS"/>
        </w:rPr>
      </w:pPr>
      <w:r>
        <w:rPr>
          <w:rFonts w:ascii="Trebuchet MS" w:hAnsi="Trebuchet MS"/>
        </w:rPr>
        <w:t>Transformation des ressources humaines ;</w:t>
      </w:r>
    </w:p>
    <w:p w14:paraId="48E03F00" w14:textId="361003A3" w:rsidR="00406B31" w:rsidRPr="00406B31" w:rsidRDefault="00406B31" w:rsidP="00406B31">
      <w:pPr>
        <w:pStyle w:val="Paragraphedeliste"/>
        <w:numPr>
          <w:ilvl w:val="1"/>
          <w:numId w:val="3"/>
        </w:numPr>
        <w:spacing w:before="75" w:after="75" w:line="360" w:lineRule="atLeast"/>
        <w:jc w:val="both"/>
        <w:textAlignment w:val="baseline"/>
        <w:rPr>
          <w:rFonts w:ascii="Trebuchet MS" w:hAnsi="Trebuchet MS"/>
        </w:rPr>
      </w:pPr>
      <w:r w:rsidRPr="00406B31">
        <w:rPr>
          <w:rFonts w:ascii="Trebuchet MS" w:hAnsi="Trebuchet MS"/>
        </w:rPr>
        <w:t>Tran</w:t>
      </w:r>
      <w:r w:rsidR="00E87278">
        <w:rPr>
          <w:rFonts w:ascii="Trebuchet MS" w:hAnsi="Trebuchet MS"/>
        </w:rPr>
        <w:t>s</w:t>
      </w:r>
      <w:r w:rsidRPr="00406B31">
        <w:rPr>
          <w:rFonts w:ascii="Trebuchet MS" w:hAnsi="Trebuchet MS"/>
        </w:rPr>
        <w:t>formation digitale des organisations</w:t>
      </w:r>
      <w:r w:rsidR="000E0353">
        <w:rPr>
          <w:rFonts w:ascii="Trebuchet MS" w:hAnsi="Trebuchet MS"/>
        </w:rPr>
        <w:t>.</w:t>
      </w:r>
    </w:p>
    <w:p w14:paraId="0CB9C633" w14:textId="77777777" w:rsidR="00406B31" w:rsidRDefault="00406B31" w:rsidP="00406B31">
      <w:pPr>
        <w:spacing w:after="200" w:line="276" w:lineRule="auto"/>
        <w:rPr>
          <w:bCs/>
        </w:rPr>
      </w:pPr>
    </w:p>
    <w:p w14:paraId="1EB070FE" w14:textId="0F0BCCAD" w:rsidR="00406B31" w:rsidRDefault="00406B31" w:rsidP="008E4D71">
      <w:pPr>
        <w:spacing w:before="75" w:after="75" w:line="360" w:lineRule="atLeast"/>
        <w:jc w:val="both"/>
        <w:textAlignment w:val="baseline"/>
        <w:rPr>
          <w:rFonts w:ascii="Trebuchet MS" w:hAnsi="Trebuchet MS"/>
        </w:rPr>
      </w:pPr>
      <w:r w:rsidRPr="00EF05AF">
        <w:rPr>
          <w:rFonts w:ascii="Trebuchet MS" w:hAnsi="Trebuchet MS"/>
        </w:rPr>
        <w:t>Performances Group a développé deux offres spécifiques pour renforcer la performance de ses clients, l’une dans la productivité énergétique, l’autre dans l’optimi</w:t>
      </w:r>
      <w:r w:rsidR="00EF05AF">
        <w:rPr>
          <w:rFonts w:ascii="Trebuchet MS" w:hAnsi="Trebuchet MS"/>
        </w:rPr>
        <w:t xml:space="preserve">sation de la </w:t>
      </w:r>
      <w:r w:rsidR="00785863">
        <w:rPr>
          <w:rFonts w:ascii="Trebuchet MS" w:hAnsi="Trebuchet MS"/>
        </w:rPr>
        <w:t>valeur client</w:t>
      </w:r>
      <w:r w:rsidR="00EF05AF">
        <w:rPr>
          <w:rFonts w:ascii="Trebuchet MS" w:hAnsi="Trebuchet MS"/>
        </w:rPr>
        <w:t xml:space="preserve">. Dans ce dernier cas, nous proposons des services </w:t>
      </w:r>
      <w:r w:rsidR="00C647FF">
        <w:rPr>
          <w:rFonts w:ascii="Trebuchet MS" w:hAnsi="Trebuchet MS"/>
        </w:rPr>
        <w:t xml:space="preserve">de </w:t>
      </w:r>
      <w:r w:rsidR="00EF05AF">
        <w:rPr>
          <w:rFonts w:ascii="Trebuchet MS" w:hAnsi="Trebuchet MS"/>
        </w:rPr>
        <w:t xml:space="preserve">fiabilisation de la base de données clients, de mise en cohérence de l’offre au regard de la stratégie commerciale, d’optimisation et digitalisation de la relation client. </w:t>
      </w:r>
    </w:p>
    <w:p w14:paraId="00228B3E" w14:textId="508B0950" w:rsidR="008E4D71" w:rsidRPr="00EF05AF" w:rsidRDefault="008E4D71" w:rsidP="00EF05AF">
      <w:pPr>
        <w:spacing w:before="75" w:after="75" w:line="360" w:lineRule="atLeast"/>
        <w:jc w:val="both"/>
        <w:textAlignment w:val="baseline"/>
        <w:rPr>
          <w:rFonts w:ascii="Trebuchet MS" w:hAnsi="Trebuchet MS"/>
        </w:rPr>
      </w:pPr>
      <w:r w:rsidRPr="004E51FD">
        <w:rPr>
          <w:rFonts w:ascii="Trebuchet MS" w:hAnsi="Trebuchet MS"/>
        </w:rPr>
        <w:t xml:space="preserve">L’approche conseil de Performances Group consiste à adapter aux besoins particuliers et à l’environnement spécifique du client des méthodologies éprouvées qui créent de la valeur. La proximité, l’ouverture d’esprit, l’engagement, le professionnalisme, l’esprit d’innovation sont autant de caractéristiques qui distinguent nos interventions et nous ont permis de gagner la confiance de nos clients. </w:t>
      </w:r>
    </w:p>
    <w:p w14:paraId="44BF7C8E" w14:textId="4BB09683" w:rsidR="008E4D71" w:rsidRPr="001D1D95" w:rsidRDefault="008E4D71" w:rsidP="00EF05AF">
      <w:pPr>
        <w:spacing w:before="75" w:after="75" w:line="360" w:lineRule="atLeast"/>
        <w:jc w:val="both"/>
        <w:textAlignment w:val="baseline"/>
        <w:rPr>
          <w:rFonts w:ascii="Trebuchet MS" w:hAnsi="Trebuchet MS"/>
        </w:rPr>
      </w:pPr>
      <w:r>
        <w:rPr>
          <w:rFonts w:ascii="Trebuchet MS" w:hAnsi="Trebuchet MS"/>
        </w:rPr>
        <w:t>Nos</w:t>
      </w:r>
      <w:r w:rsidRPr="001D1D95">
        <w:rPr>
          <w:rFonts w:ascii="Trebuchet MS" w:hAnsi="Trebuchet MS"/>
        </w:rPr>
        <w:t xml:space="preserve"> soixante consultants permanents et la trentaine d’experts qui constituent l’équipe multiculturelle de Performances Group vivent au quotidien les enjeux de la transformation des économies africaines.</w:t>
      </w:r>
      <w:r w:rsidR="00EF05AF" w:rsidRPr="001D1D95">
        <w:rPr>
          <w:rFonts w:ascii="Trebuchet MS" w:hAnsi="Trebuchet MS"/>
        </w:rPr>
        <w:t xml:space="preserve"> </w:t>
      </w:r>
    </w:p>
    <w:p w14:paraId="4DB663B7" w14:textId="77777777" w:rsidR="004373F8" w:rsidRDefault="000E6F42">
      <w:bookmarkStart w:id="2" w:name="_GoBack"/>
      <w:bookmarkEnd w:id="2"/>
    </w:p>
    <w:sectPr w:rsidR="004373F8" w:rsidSect="00B820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B4B"/>
    <w:multiLevelType w:val="hybridMultilevel"/>
    <w:tmpl w:val="C2443FA8"/>
    <w:lvl w:ilvl="0" w:tplc="C420ABEA">
      <w:start w:val="1"/>
      <w:numFmt w:val="bullet"/>
      <w:lvlText w:val=""/>
      <w:lvlJc w:val="left"/>
      <w:pPr>
        <w:ind w:left="1440" w:hanging="360"/>
      </w:pPr>
      <w:rPr>
        <w:rFonts w:ascii="Wingdings" w:hAnsi="Wingdings" w:hint="default"/>
        <w:b/>
        <w:i w:val="0"/>
        <w:caps w:val="0"/>
        <w:strike w:val="0"/>
        <w:dstrike w:val="0"/>
        <w:vanish w:val="0"/>
        <w:color w:val="C00000"/>
        <w:sz w:val="24"/>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2AE5F6E"/>
    <w:multiLevelType w:val="hybridMultilevel"/>
    <w:tmpl w:val="9CEE053A"/>
    <w:lvl w:ilvl="0" w:tplc="CA128AE4">
      <w:start w:val="1"/>
      <w:numFmt w:val="bullet"/>
      <w:lvlText w:val="•"/>
      <w:lvlJc w:val="left"/>
      <w:pPr>
        <w:tabs>
          <w:tab w:val="num" w:pos="720"/>
        </w:tabs>
        <w:ind w:left="720" w:hanging="360"/>
      </w:pPr>
      <w:rPr>
        <w:rFonts w:ascii="Arial" w:hAnsi="Arial" w:hint="default"/>
      </w:rPr>
    </w:lvl>
    <w:lvl w:ilvl="1" w:tplc="B5BA3E32" w:tentative="1">
      <w:start w:val="1"/>
      <w:numFmt w:val="bullet"/>
      <w:lvlText w:val="•"/>
      <w:lvlJc w:val="left"/>
      <w:pPr>
        <w:tabs>
          <w:tab w:val="num" w:pos="1440"/>
        </w:tabs>
        <w:ind w:left="1440" w:hanging="360"/>
      </w:pPr>
      <w:rPr>
        <w:rFonts w:ascii="Arial" w:hAnsi="Arial" w:hint="default"/>
      </w:rPr>
    </w:lvl>
    <w:lvl w:ilvl="2" w:tplc="8604C9DE" w:tentative="1">
      <w:start w:val="1"/>
      <w:numFmt w:val="bullet"/>
      <w:lvlText w:val="•"/>
      <w:lvlJc w:val="left"/>
      <w:pPr>
        <w:tabs>
          <w:tab w:val="num" w:pos="2160"/>
        </w:tabs>
        <w:ind w:left="2160" w:hanging="360"/>
      </w:pPr>
      <w:rPr>
        <w:rFonts w:ascii="Arial" w:hAnsi="Arial" w:hint="default"/>
      </w:rPr>
    </w:lvl>
    <w:lvl w:ilvl="3" w:tplc="F46446F2" w:tentative="1">
      <w:start w:val="1"/>
      <w:numFmt w:val="bullet"/>
      <w:lvlText w:val="•"/>
      <w:lvlJc w:val="left"/>
      <w:pPr>
        <w:tabs>
          <w:tab w:val="num" w:pos="2880"/>
        </w:tabs>
        <w:ind w:left="2880" w:hanging="360"/>
      </w:pPr>
      <w:rPr>
        <w:rFonts w:ascii="Arial" w:hAnsi="Arial" w:hint="default"/>
      </w:rPr>
    </w:lvl>
    <w:lvl w:ilvl="4" w:tplc="15CA4698" w:tentative="1">
      <w:start w:val="1"/>
      <w:numFmt w:val="bullet"/>
      <w:lvlText w:val="•"/>
      <w:lvlJc w:val="left"/>
      <w:pPr>
        <w:tabs>
          <w:tab w:val="num" w:pos="3600"/>
        </w:tabs>
        <w:ind w:left="3600" w:hanging="360"/>
      </w:pPr>
      <w:rPr>
        <w:rFonts w:ascii="Arial" w:hAnsi="Arial" w:hint="default"/>
      </w:rPr>
    </w:lvl>
    <w:lvl w:ilvl="5" w:tplc="8306F3B4" w:tentative="1">
      <w:start w:val="1"/>
      <w:numFmt w:val="bullet"/>
      <w:lvlText w:val="•"/>
      <w:lvlJc w:val="left"/>
      <w:pPr>
        <w:tabs>
          <w:tab w:val="num" w:pos="4320"/>
        </w:tabs>
        <w:ind w:left="4320" w:hanging="360"/>
      </w:pPr>
      <w:rPr>
        <w:rFonts w:ascii="Arial" w:hAnsi="Arial" w:hint="default"/>
      </w:rPr>
    </w:lvl>
    <w:lvl w:ilvl="6" w:tplc="E9167BAE" w:tentative="1">
      <w:start w:val="1"/>
      <w:numFmt w:val="bullet"/>
      <w:lvlText w:val="•"/>
      <w:lvlJc w:val="left"/>
      <w:pPr>
        <w:tabs>
          <w:tab w:val="num" w:pos="5040"/>
        </w:tabs>
        <w:ind w:left="5040" w:hanging="360"/>
      </w:pPr>
      <w:rPr>
        <w:rFonts w:ascii="Arial" w:hAnsi="Arial" w:hint="default"/>
      </w:rPr>
    </w:lvl>
    <w:lvl w:ilvl="7" w:tplc="235A9380" w:tentative="1">
      <w:start w:val="1"/>
      <w:numFmt w:val="bullet"/>
      <w:lvlText w:val="•"/>
      <w:lvlJc w:val="left"/>
      <w:pPr>
        <w:tabs>
          <w:tab w:val="num" w:pos="5760"/>
        </w:tabs>
        <w:ind w:left="5760" w:hanging="360"/>
      </w:pPr>
      <w:rPr>
        <w:rFonts w:ascii="Arial" w:hAnsi="Arial" w:hint="default"/>
      </w:rPr>
    </w:lvl>
    <w:lvl w:ilvl="8" w:tplc="11E8776A" w:tentative="1">
      <w:start w:val="1"/>
      <w:numFmt w:val="bullet"/>
      <w:lvlText w:val="•"/>
      <w:lvlJc w:val="left"/>
      <w:pPr>
        <w:tabs>
          <w:tab w:val="num" w:pos="6480"/>
        </w:tabs>
        <w:ind w:left="6480" w:hanging="360"/>
      </w:pPr>
      <w:rPr>
        <w:rFonts w:ascii="Arial" w:hAnsi="Arial" w:hint="default"/>
      </w:rPr>
    </w:lvl>
  </w:abstractNum>
  <w:abstractNum w:abstractNumId="2">
    <w:nsid w:val="1BC810D9"/>
    <w:multiLevelType w:val="hybridMultilevel"/>
    <w:tmpl w:val="183AC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4B0B31"/>
    <w:multiLevelType w:val="hybridMultilevel"/>
    <w:tmpl w:val="0944C66E"/>
    <w:lvl w:ilvl="0" w:tplc="98FA1CB8">
      <w:start w:val="1"/>
      <w:numFmt w:val="upperLetter"/>
      <w:lvlText w:val="%1."/>
      <w:lvlJc w:val="left"/>
      <w:pPr>
        <w:ind w:left="1665" w:hanging="360"/>
      </w:pPr>
      <w:rPr>
        <w:rFonts w:hint="default"/>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4">
    <w:nsid w:val="2552768C"/>
    <w:multiLevelType w:val="hybridMultilevel"/>
    <w:tmpl w:val="F53EFEDE"/>
    <w:lvl w:ilvl="0" w:tplc="671ADA8A">
      <w:start w:val="1"/>
      <w:numFmt w:val="bullet"/>
      <w:lvlText w:val=""/>
      <w:lvlJc w:val="left"/>
      <w:pPr>
        <w:ind w:left="720" w:hanging="360"/>
      </w:pPr>
      <w:rPr>
        <w:rFonts w:ascii="Symbol" w:hAnsi="Symbol" w:hint="default"/>
        <w:b w:val="0"/>
        <w:i w:val="0"/>
        <w:color w:val="C0000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0D38FE"/>
    <w:multiLevelType w:val="hybridMultilevel"/>
    <w:tmpl w:val="42CAA4EC"/>
    <w:lvl w:ilvl="0" w:tplc="6040E4FA">
      <w:start w:val="1"/>
      <w:numFmt w:val="upperRoman"/>
      <w:lvlText w:val="%1."/>
      <w:lvlJc w:val="right"/>
      <w:pPr>
        <w:ind w:left="1440" w:hanging="360"/>
      </w:pPr>
      <w:rPr>
        <w:color w:val="C0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673248E6"/>
    <w:multiLevelType w:val="hybridMultilevel"/>
    <w:tmpl w:val="C6C8847E"/>
    <w:lvl w:ilvl="0" w:tplc="3516E34E">
      <w:start w:val="1"/>
      <w:numFmt w:val="bullet"/>
      <w:lvlText w:val="•"/>
      <w:lvlJc w:val="left"/>
      <w:pPr>
        <w:tabs>
          <w:tab w:val="num" w:pos="720"/>
        </w:tabs>
        <w:ind w:left="720" w:hanging="360"/>
      </w:pPr>
      <w:rPr>
        <w:rFonts w:ascii="Arial" w:hAnsi="Arial" w:hint="default"/>
      </w:rPr>
    </w:lvl>
    <w:lvl w:ilvl="1" w:tplc="C7E8A098" w:tentative="1">
      <w:start w:val="1"/>
      <w:numFmt w:val="bullet"/>
      <w:lvlText w:val="•"/>
      <w:lvlJc w:val="left"/>
      <w:pPr>
        <w:tabs>
          <w:tab w:val="num" w:pos="1440"/>
        </w:tabs>
        <w:ind w:left="1440" w:hanging="360"/>
      </w:pPr>
      <w:rPr>
        <w:rFonts w:ascii="Arial" w:hAnsi="Arial" w:hint="default"/>
      </w:rPr>
    </w:lvl>
    <w:lvl w:ilvl="2" w:tplc="95E61416" w:tentative="1">
      <w:start w:val="1"/>
      <w:numFmt w:val="bullet"/>
      <w:lvlText w:val="•"/>
      <w:lvlJc w:val="left"/>
      <w:pPr>
        <w:tabs>
          <w:tab w:val="num" w:pos="2160"/>
        </w:tabs>
        <w:ind w:left="2160" w:hanging="360"/>
      </w:pPr>
      <w:rPr>
        <w:rFonts w:ascii="Arial" w:hAnsi="Arial" w:hint="default"/>
      </w:rPr>
    </w:lvl>
    <w:lvl w:ilvl="3" w:tplc="F90CDAE4" w:tentative="1">
      <w:start w:val="1"/>
      <w:numFmt w:val="bullet"/>
      <w:lvlText w:val="•"/>
      <w:lvlJc w:val="left"/>
      <w:pPr>
        <w:tabs>
          <w:tab w:val="num" w:pos="2880"/>
        </w:tabs>
        <w:ind w:left="2880" w:hanging="360"/>
      </w:pPr>
      <w:rPr>
        <w:rFonts w:ascii="Arial" w:hAnsi="Arial" w:hint="default"/>
      </w:rPr>
    </w:lvl>
    <w:lvl w:ilvl="4" w:tplc="1DC2E494" w:tentative="1">
      <w:start w:val="1"/>
      <w:numFmt w:val="bullet"/>
      <w:lvlText w:val="•"/>
      <w:lvlJc w:val="left"/>
      <w:pPr>
        <w:tabs>
          <w:tab w:val="num" w:pos="3600"/>
        </w:tabs>
        <w:ind w:left="3600" w:hanging="360"/>
      </w:pPr>
      <w:rPr>
        <w:rFonts w:ascii="Arial" w:hAnsi="Arial" w:hint="default"/>
      </w:rPr>
    </w:lvl>
    <w:lvl w:ilvl="5" w:tplc="97AC3E28" w:tentative="1">
      <w:start w:val="1"/>
      <w:numFmt w:val="bullet"/>
      <w:lvlText w:val="•"/>
      <w:lvlJc w:val="left"/>
      <w:pPr>
        <w:tabs>
          <w:tab w:val="num" w:pos="4320"/>
        </w:tabs>
        <w:ind w:left="4320" w:hanging="360"/>
      </w:pPr>
      <w:rPr>
        <w:rFonts w:ascii="Arial" w:hAnsi="Arial" w:hint="default"/>
      </w:rPr>
    </w:lvl>
    <w:lvl w:ilvl="6" w:tplc="E4DC5424" w:tentative="1">
      <w:start w:val="1"/>
      <w:numFmt w:val="bullet"/>
      <w:lvlText w:val="•"/>
      <w:lvlJc w:val="left"/>
      <w:pPr>
        <w:tabs>
          <w:tab w:val="num" w:pos="5040"/>
        </w:tabs>
        <w:ind w:left="5040" w:hanging="360"/>
      </w:pPr>
      <w:rPr>
        <w:rFonts w:ascii="Arial" w:hAnsi="Arial" w:hint="default"/>
      </w:rPr>
    </w:lvl>
    <w:lvl w:ilvl="7" w:tplc="3CC83518" w:tentative="1">
      <w:start w:val="1"/>
      <w:numFmt w:val="bullet"/>
      <w:lvlText w:val="•"/>
      <w:lvlJc w:val="left"/>
      <w:pPr>
        <w:tabs>
          <w:tab w:val="num" w:pos="5760"/>
        </w:tabs>
        <w:ind w:left="5760" w:hanging="360"/>
      </w:pPr>
      <w:rPr>
        <w:rFonts w:ascii="Arial" w:hAnsi="Arial" w:hint="default"/>
      </w:rPr>
    </w:lvl>
    <w:lvl w:ilvl="8" w:tplc="49AE28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3A"/>
    <w:rsid w:val="00003A4F"/>
    <w:rsid w:val="00030964"/>
    <w:rsid w:val="000E0353"/>
    <w:rsid w:val="000E08C7"/>
    <w:rsid w:val="000E6F42"/>
    <w:rsid w:val="000F4E52"/>
    <w:rsid w:val="001108E4"/>
    <w:rsid w:val="00135ABF"/>
    <w:rsid w:val="001645AA"/>
    <w:rsid w:val="00170C88"/>
    <w:rsid w:val="001724F1"/>
    <w:rsid w:val="001E27C3"/>
    <w:rsid w:val="001E6634"/>
    <w:rsid w:val="001F0D69"/>
    <w:rsid w:val="002732E9"/>
    <w:rsid w:val="00316595"/>
    <w:rsid w:val="0032465E"/>
    <w:rsid w:val="0033436C"/>
    <w:rsid w:val="0034498F"/>
    <w:rsid w:val="00367EA8"/>
    <w:rsid w:val="00406B31"/>
    <w:rsid w:val="004124FA"/>
    <w:rsid w:val="0042093A"/>
    <w:rsid w:val="00484DE5"/>
    <w:rsid w:val="00485BF2"/>
    <w:rsid w:val="004A6392"/>
    <w:rsid w:val="004E7EAB"/>
    <w:rsid w:val="004F02AB"/>
    <w:rsid w:val="00576817"/>
    <w:rsid w:val="00576C8E"/>
    <w:rsid w:val="00586C4D"/>
    <w:rsid w:val="00591D40"/>
    <w:rsid w:val="00596C37"/>
    <w:rsid w:val="005C7B44"/>
    <w:rsid w:val="005E49BE"/>
    <w:rsid w:val="00613C6B"/>
    <w:rsid w:val="00651D4E"/>
    <w:rsid w:val="0068398E"/>
    <w:rsid w:val="006D04F4"/>
    <w:rsid w:val="0073040A"/>
    <w:rsid w:val="00744B29"/>
    <w:rsid w:val="00771C31"/>
    <w:rsid w:val="00785863"/>
    <w:rsid w:val="007911F1"/>
    <w:rsid w:val="00856856"/>
    <w:rsid w:val="00864B3B"/>
    <w:rsid w:val="008C1F9F"/>
    <w:rsid w:val="008E4D71"/>
    <w:rsid w:val="008F3893"/>
    <w:rsid w:val="009268BA"/>
    <w:rsid w:val="00940E97"/>
    <w:rsid w:val="00947E76"/>
    <w:rsid w:val="00950CC3"/>
    <w:rsid w:val="009A174D"/>
    <w:rsid w:val="009C2931"/>
    <w:rsid w:val="009D7E16"/>
    <w:rsid w:val="00A01555"/>
    <w:rsid w:val="00A02235"/>
    <w:rsid w:val="00A36C63"/>
    <w:rsid w:val="00A763E4"/>
    <w:rsid w:val="00AF2996"/>
    <w:rsid w:val="00B5770A"/>
    <w:rsid w:val="00B57E4F"/>
    <w:rsid w:val="00B73F45"/>
    <w:rsid w:val="00B82098"/>
    <w:rsid w:val="00C647FF"/>
    <w:rsid w:val="00C914BA"/>
    <w:rsid w:val="00CA0C29"/>
    <w:rsid w:val="00D4479D"/>
    <w:rsid w:val="00D5311B"/>
    <w:rsid w:val="00D84696"/>
    <w:rsid w:val="00DA1180"/>
    <w:rsid w:val="00E063BC"/>
    <w:rsid w:val="00E24D43"/>
    <w:rsid w:val="00E24D5D"/>
    <w:rsid w:val="00E45540"/>
    <w:rsid w:val="00E87278"/>
    <w:rsid w:val="00EB3AEB"/>
    <w:rsid w:val="00EF05AF"/>
    <w:rsid w:val="00F469F5"/>
    <w:rsid w:val="00FC3A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63"/>
    <w:rPr>
      <w:rFonts w:ascii="Times New Roman" w:hAnsi="Times New Roman" w:cs="Times New Roman"/>
      <w:lang w:eastAsia="fr-FR"/>
    </w:rPr>
  </w:style>
  <w:style w:type="paragraph" w:styleId="Titre1">
    <w:name w:val="heading 1"/>
    <w:aliases w:val="titre sans numero"/>
    <w:basedOn w:val="Normal"/>
    <w:next w:val="Normal"/>
    <w:link w:val="Titre1Car"/>
    <w:uiPriority w:val="9"/>
    <w:qFormat/>
    <w:rsid w:val="0042093A"/>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sans numero Car"/>
    <w:basedOn w:val="Policepardfaut"/>
    <w:link w:val="Titre1"/>
    <w:uiPriority w:val="9"/>
    <w:rsid w:val="0042093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C3AAB"/>
    <w:rPr>
      <w:lang w:eastAsia="en-US"/>
    </w:rPr>
  </w:style>
  <w:style w:type="paragraph" w:styleId="Paragraphedeliste">
    <w:name w:val="List Paragraph"/>
    <w:aliases w:val="Listes,Normal bullet 2,Paragraph,lp1,texte de base"/>
    <w:basedOn w:val="Normal"/>
    <w:link w:val="ParagraphedelisteCar"/>
    <w:uiPriority w:val="34"/>
    <w:qFormat/>
    <w:rsid w:val="00D84696"/>
    <w:pPr>
      <w:ind w:left="720"/>
      <w:contextualSpacing/>
    </w:pPr>
  </w:style>
  <w:style w:type="character" w:customStyle="1" w:styleId="ParagraphedelisteCar">
    <w:name w:val="Paragraphe de liste Car"/>
    <w:aliases w:val="Listes Car,Normal bullet 2 Car,Paragraph Car,lp1 Car,texte de base Car"/>
    <w:basedOn w:val="Policepardfaut"/>
    <w:link w:val="Paragraphedeliste"/>
    <w:uiPriority w:val="34"/>
    <w:locked/>
    <w:rsid w:val="008E4D71"/>
    <w:rPr>
      <w:rFonts w:ascii="Times New Roman" w:hAnsi="Times New Roman" w:cs="Times New Roman"/>
      <w:lang w:eastAsia="fr-FR"/>
    </w:rPr>
  </w:style>
  <w:style w:type="character" w:styleId="Marquedecommentaire">
    <w:name w:val="annotation reference"/>
    <w:basedOn w:val="Policepardfaut"/>
    <w:uiPriority w:val="99"/>
    <w:semiHidden/>
    <w:unhideWhenUsed/>
    <w:rsid w:val="000E08C7"/>
    <w:rPr>
      <w:sz w:val="18"/>
      <w:szCs w:val="18"/>
    </w:rPr>
  </w:style>
  <w:style w:type="paragraph" w:styleId="Commentaire">
    <w:name w:val="annotation text"/>
    <w:basedOn w:val="Normal"/>
    <w:link w:val="CommentaireCar"/>
    <w:uiPriority w:val="99"/>
    <w:semiHidden/>
    <w:unhideWhenUsed/>
    <w:rsid w:val="000E08C7"/>
  </w:style>
  <w:style w:type="character" w:customStyle="1" w:styleId="CommentaireCar">
    <w:name w:val="Commentaire Car"/>
    <w:basedOn w:val="Policepardfaut"/>
    <w:link w:val="Commentaire"/>
    <w:uiPriority w:val="99"/>
    <w:semiHidden/>
    <w:rsid w:val="000E08C7"/>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0E08C7"/>
    <w:rPr>
      <w:b/>
      <w:bCs/>
      <w:sz w:val="20"/>
      <w:szCs w:val="20"/>
    </w:rPr>
  </w:style>
  <w:style w:type="character" w:customStyle="1" w:styleId="ObjetducommentaireCar">
    <w:name w:val="Objet du commentaire Car"/>
    <w:basedOn w:val="CommentaireCar"/>
    <w:link w:val="Objetducommentaire"/>
    <w:uiPriority w:val="99"/>
    <w:semiHidden/>
    <w:rsid w:val="000E08C7"/>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0E08C7"/>
    <w:rPr>
      <w:sz w:val="18"/>
      <w:szCs w:val="18"/>
    </w:rPr>
  </w:style>
  <w:style w:type="character" w:customStyle="1" w:styleId="TextedebullesCar">
    <w:name w:val="Texte de bulles Car"/>
    <w:basedOn w:val="Policepardfaut"/>
    <w:link w:val="Textedebulles"/>
    <w:uiPriority w:val="99"/>
    <w:semiHidden/>
    <w:rsid w:val="000E08C7"/>
    <w:rPr>
      <w:rFonts w:ascii="Times New Roman" w:hAnsi="Times New Roman" w:cs="Times New Roman"/>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63"/>
    <w:rPr>
      <w:rFonts w:ascii="Times New Roman" w:hAnsi="Times New Roman" w:cs="Times New Roman"/>
      <w:lang w:eastAsia="fr-FR"/>
    </w:rPr>
  </w:style>
  <w:style w:type="paragraph" w:styleId="Titre1">
    <w:name w:val="heading 1"/>
    <w:aliases w:val="titre sans numero"/>
    <w:basedOn w:val="Normal"/>
    <w:next w:val="Normal"/>
    <w:link w:val="Titre1Car"/>
    <w:uiPriority w:val="9"/>
    <w:qFormat/>
    <w:rsid w:val="0042093A"/>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sans numero Car"/>
    <w:basedOn w:val="Policepardfaut"/>
    <w:link w:val="Titre1"/>
    <w:uiPriority w:val="9"/>
    <w:rsid w:val="0042093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C3AAB"/>
    <w:rPr>
      <w:lang w:eastAsia="en-US"/>
    </w:rPr>
  </w:style>
  <w:style w:type="paragraph" w:styleId="Paragraphedeliste">
    <w:name w:val="List Paragraph"/>
    <w:aliases w:val="Listes,Normal bullet 2,Paragraph,lp1,texte de base"/>
    <w:basedOn w:val="Normal"/>
    <w:link w:val="ParagraphedelisteCar"/>
    <w:uiPriority w:val="34"/>
    <w:qFormat/>
    <w:rsid w:val="00D84696"/>
    <w:pPr>
      <w:ind w:left="720"/>
      <w:contextualSpacing/>
    </w:pPr>
  </w:style>
  <w:style w:type="character" w:customStyle="1" w:styleId="ParagraphedelisteCar">
    <w:name w:val="Paragraphe de liste Car"/>
    <w:aliases w:val="Listes Car,Normal bullet 2 Car,Paragraph Car,lp1 Car,texte de base Car"/>
    <w:basedOn w:val="Policepardfaut"/>
    <w:link w:val="Paragraphedeliste"/>
    <w:uiPriority w:val="34"/>
    <w:locked/>
    <w:rsid w:val="008E4D71"/>
    <w:rPr>
      <w:rFonts w:ascii="Times New Roman" w:hAnsi="Times New Roman" w:cs="Times New Roman"/>
      <w:lang w:eastAsia="fr-FR"/>
    </w:rPr>
  </w:style>
  <w:style w:type="character" w:styleId="Marquedecommentaire">
    <w:name w:val="annotation reference"/>
    <w:basedOn w:val="Policepardfaut"/>
    <w:uiPriority w:val="99"/>
    <w:semiHidden/>
    <w:unhideWhenUsed/>
    <w:rsid w:val="000E08C7"/>
    <w:rPr>
      <w:sz w:val="18"/>
      <w:szCs w:val="18"/>
    </w:rPr>
  </w:style>
  <w:style w:type="paragraph" w:styleId="Commentaire">
    <w:name w:val="annotation text"/>
    <w:basedOn w:val="Normal"/>
    <w:link w:val="CommentaireCar"/>
    <w:uiPriority w:val="99"/>
    <w:semiHidden/>
    <w:unhideWhenUsed/>
    <w:rsid w:val="000E08C7"/>
  </w:style>
  <w:style w:type="character" w:customStyle="1" w:styleId="CommentaireCar">
    <w:name w:val="Commentaire Car"/>
    <w:basedOn w:val="Policepardfaut"/>
    <w:link w:val="Commentaire"/>
    <w:uiPriority w:val="99"/>
    <w:semiHidden/>
    <w:rsid w:val="000E08C7"/>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0E08C7"/>
    <w:rPr>
      <w:b/>
      <w:bCs/>
      <w:sz w:val="20"/>
      <w:szCs w:val="20"/>
    </w:rPr>
  </w:style>
  <w:style w:type="character" w:customStyle="1" w:styleId="ObjetducommentaireCar">
    <w:name w:val="Objet du commentaire Car"/>
    <w:basedOn w:val="CommentaireCar"/>
    <w:link w:val="Objetducommentaire"/>
    <w:uiPriority w:val="99"/>
    <w:semiHidden/>
    <w:rsid w:val="000E08C7"/>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0E08C7"/>
    <w:rPr>
      <w:sz w:val="18"/>
      <w:szCs w:val="18"/>
    </w:rPr>
  </w:style>
  <w:style w:type="character" w:customStyle="1" w:styleId="TextedebullesCar">
    <w:name w:val="Texte de bulles Car"/>
    <w:basedOn w:val="Policepardfaut"/>
    <w:link w:val="Textedebulles"/>
    <w:uiPriority w:val="99"/>
    <w:semiHidden/>
    <w:rsid w:val="000E08C7"/>
    <w:rPr>
      <w:rFonts w:ascii="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676">
      <w:bodyDiv w:val="1"/>
      <w:marLeft w:val="0"/>
      <w:marRight w:val="0"/>
      <w:marTop w:val="0"/>
      <w:marBottom w:val="0"/>
      <w:divBdr>
        <w:top w:val="none" w:sz="0" w:space="0" w:color="auto"/>
        <w:left w:val="none" w:sz="0" w:space="0" w:color="auto"/>
        <w:bottom w:val="none" w:sz="0" w:space="0" w:color="auto"/>
        <w:right w:val="none" w:sz="0" w:space="0" w:color="auto"/>
      </w:divBdr>
    </w:div>
    <w:div w:id="98990727">
      <w:bodyDiv w:val="1"/>
      <w:marLeft w:val="0"/>
      <w:marRight w:val="0"/>
      <w:marTop w:val="0"/>
      <w:marBottom w:val="0"/>
      <w:divBdr>
        <w:top w:val="none" w:sz="0" w:space="0" w:color="auto"/>
        <w:left w:val="none" w:sz="0" w:space="0" w:color="auto"/>
        <w:bottom w:val="none" w:sz="0" w:space="0" w:color="auto"/>
        <w:right w:val="none" w:sz="0" w:space="0" w:color="auto"/>
      </w:divBdr>
    </w:div>
    <w:div w:id="124932599">
      <w:bodyDiv w:val="1"/>
      <w:marLeft w:val="0"/>
      <w:marRight w:val="0"/>
      <w:marTop w:val="0"/>
      <w:marBottom w:val="0"/>
      <w:divBdr>
        <w:top w:val="none" w:sz="0" w:space="0" w:color="auto"/>
        <w:left w:val="none" w:sz="0" w:space="0" w:color="auto"/>
        <w:bottom w:val="none" w:sz="0" w:space="0" w:color="auto"/>
        <w:right w:val="none" w:sz="0" w:space="0" w:color="auto"/>
      </w:divBdr>
    </w:div>
    <w:div w:id="147289753">
      <w:bodyDiv w:val="1"/>
      <w:marLeft w:val="0"/>
      <w:marRight w:val="0"/>
      <w:marTop w:val="0"/>
      <w:marBottom w:val="0"/>
      <w:divBdr>
        <w:top w:val="none" w:sz="0" w:space="0" w:color="auto"/>
        <w:left w:val="none" w:sz="0" w:space="0" w:color="auto"/>
        <w:bottom w:val="none" w:sz="0" w:space="0" w:color="auto"/>
        <w:right w:val="none" w:sz="0" w:space="0" w:color="auto"/>
      </w:divBdr>
    </w:div>
    <w:div w:id="815686696">
      <w:bodyDiv w:val="1"/>
      <w:marLeft w:val="0"/>
      <w:marRight w:val="0"/>
      <w:marTop w:val="0"/>
      <w:marBottom w:val="0"/>
      <w:divBdr>
        <w:top w:val="none" w:sz="0" w:space="0" w:color="auto"/>
        <w:left w:val="none" w:sz="0" w:space="0" w:color="auto"/>
        <w:bottom w:val="none" w:sz="0" w:space="0" w:color="auto"/>
        <w:right w:val="none" w:sz="0" w:space="0" w:color="auto"/>
      </w:divBdr>
    </w:div>
    <w:div w:id="949049626">
      <w:bodyDiv w:val="1"/>
      <w:marLeft w:val="0"/>
      <w:marRight w:val="0"/>
      <w:marTop w:val="0"/>
      <w:marBottom w:val="0"/>
      <w:divBdr>
        <w:top w:val="none" w:sz="0" w:space="0" w:color="auto"/>
        <w:left w:val="none" w:sz="0" w:space="0" w:color="auto"/>
        <w:bottom w:val="none" w:sz="0" w:space="0" w:color="auto"/>
        <w:right w:val="none" w:sz="0" w:space="0" w:color="auto"/>
      </w:divBdr>
      <w:divsChild>
        <w:div w:id="2100907904">
          <w:marLeft w:val="446"/>
          <w:marRight w:val="0"/>
          <w:marTop w:val="0"/>
          <w:marBottom w:val="0"/>
          <w:divBdr>
            <w:top w:val="none" w:sz="0" w:space="0" w:color="auto"/>
            <w:left w:val="none" w:sz="0" w:space="0" w:color="auto"/>
            <w:bottom w:val="none" w:sz="0" w:space="0" w:color="auto"/>
            <w:right w:val="none" w:sz="0" w:space="0" w:color="auto"/>
          </w:divBdr>
        </w:div>
        <w:div w:id="1465584415">
          <w:marLeft w:val="446"/>
          <w:marRight w:val="0"/>
          <w:marTop w:val="0"/>
          <w:marBottom w:val="0"/>
          <w:divBdr>
            <w:top w:val="none" w:sz="0" w:space="0" w:color="auto"/>
            <w:left w:val="none" w:sz="0" w:space="0" w:color="auto"/>
            <w:bottom w:val="none" w:sz="0" w:space="0" w:color="auto"/>
            <w:right w:val="none" w:sz="0" w:space="0" w:color="auto"/>
          </w:divBdr>
        </w:div>
        <w:div w:id="1939559653">
          <w:marLeft w:val="446"/>
          <w:marRight w:val="0"/>
          <w:marTop w:val="0"/>
          <w:marBottom w:val="0"/>
          <w:divBdr>
            <w:top w:val="none" w:sz="0" w:space="0" w:color="auto"/>
            <w:left w:val="none" w:sz="0" w:space="0" w:color="auto"/>
            <w:bottom w:val="none" w:sz="0" w:space="0" w:color="auto"/>
            <w:right w:val="none" w:sz="0" w:space="0" w:color="auto"/>
          </w:divBdr>
        </w:div>
        <w:div w:id="389689525">
          <w:marLeft w:val="446"/>
          <w:marRight w:val="0"/>
          <w:marTop w:val="0"/>
          <w:marBottom w:val="0"/>
          <w:divBdr>
            <w:top w:val="none" w:sz="0" w:space="0" w:color="auto"/>
            <w:left w:val="none" w:sz="0" w:space="0" w:color="auto"/>
            <w:bottom w:val="none" w:sz="0" w:space="0" w:color="auto"/>
            <w:right w:val="none" w:sz="0" w:space="0" w:color="auto"/>
          </w:divBdr>
        </w:div>
        <w:div w:id="743718367">
          <w:marLeft w:val="446"/>
          <w:marRight w:val="0"/>
          <w:marTop w:val="0"/>
          <w:marBottom w:val="0"/>
          <w:divBdr>
            <w:top w:val="none" w:sz="0" w:space="0" w:color="auto"/>
            <w:left w:val="none" w:sz="0" w:space="0" w:color="auto"/>
            <w:bottom w:val="none" w:sz="0" w:space="0" w:color="auto"/>
            <w:right w:val="none" w:sz="0" w:space="0" w:color="auto"/>
          </w:divBdr>
        </w:div>
      </w:divsChild>
    </w:div>
    <w:div w:id="1244727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3135</Characters>
  <Application>Microsoft Office Word</Application>
  <DocSecurity>0</DocSecurity>
  <Lines>26</Lines>
  <Paragraphs>7</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Présentation de Performances Group</vt:lpstr>
    </vt:vector>
  </TitlesOfParts>
  <Company>Performances MC</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Diobaye,NA (pgt)</dc:creator>
  <cp:lastModifiedBy>MGHARABY</cp:lastModifiedBy>
  <cp:revision>2</cp:revision>
  <dcterms:created xsi:type="dcterms:W3CDTF">2018-02-16T16:59:00Z</dcterms:created>
  <dcterms:modified xsi:type="dcterms:W3CDTF">2018-02-16T16:59:00Z</dcterms:modified>
</cp:coreProperties>
</file>